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4AC9" w14:textId="77777777" w:rsidR="001952BF" w:rsidRDefault="001952BF" w:rsidP="001952BF">
      <w:pPr>
        <w:spacing w:after="161"/>
        <w:ind w:left="350"/>
      </w:pPr>
      <w:bookmarkStart w:id="0" w:name="_GoBack"/>
      <w:bookmarkEnd w:id="0"/>
    </w:p>
    <w:p w14:paraId="7D5AF42E" w14:textId="77777777" w:rsidR="001952BF" w:rsidRDefault="001952BF" w:rsidP="001952BF">
      <w:pPr>
        <w:ind w:left="350"/>
      </w:pPr>
      <w:r>
        <w:t xml:space="preserve"> </w:t>
      </w:r>
    </w:p>
    <w:p w14:paraId="25568FF5" w14:textId="77777777" w:rsidR="001952BF" w:rsidRDefault="001952BF" w:rsidP="001952BF">
      <w:pPr>
        <w:spacing w:after="161"/>
        <w:ind w:left="350"/>
      </w:pPr>
      <w:r>
        <w:t xml:space="preserve"> </w:t>
      </w:r>
    </w:p>
    <w:p w14:paraId="04DD7E9A" w14:textId="77777777" w:rsidR="001952BF" w:rsidRDefault="001952BF" w:rsidP="001952BF">
      <w:pPr>
        <w:ind w:left="350"/>
      </w:pPr>
      <w:r>
        <w:t xml:space="preserve"> </w:t>
      </w:r>
    </w:p>
    <w:p w14:paraId="404E9032" w14:textId="77777777" w:rsidR="001952BF" w:rsidRDefault="001952BF" w:rsidP="001952BF">
      <w:pPr>
        <w:spacing w:after="134"/>
        <w:ind w:left="350"/>
      </w:pPr>
      <w:r>
        <w:t xml:space="preserve"> </w:t>
      </w:r>
    </w:p>
    <w:p w14:paraId="20FE9520" w14:textId="77777777" w:rsidR="001952BF" w:rsidRDefault="001952BF" w:rsidP="001952BF">
      <w:pPr>
        <w:spacing w:after="0"/>
        <w:ind w:left="411"/>
        <w:jc w:val="center"/>
      </w:pPr>
      <w:r>
        <w:rPr>
          <w:noProof/>
        </w:rPr>
        <w:drawing>
          <wp:inline distT="0" distB="0" distL="0" distR="0" wp14:anchorId="01008C12" wp14:editId="661F21C9">
            <wp:extent cx="2516489" cy="71036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stretch>
                      <a:fillRect/>
                    </a:stretch>
                  </pic:blipFill>
                  <pic:spPr>
                    <a:xfrm>
                      <a:off x="0" y="0"/>
                      <a:ext cx="2554520" cy="721095"/>
                    </a:xfrm>
                    <a:prstGeom prst="rect">
                      <a:avLst/>
                    </a:prstGeom>
                  </pic:spPr>
                </pic:pic>
              </a:graphicData>
            </a:graphic>
          </wp:inline>
        </w:drawing>
      </w:r>
      <w:r>
        <w:rPr>
          <w:color w:val="2E73B5"/>
          <w:sz w:val="24"/>
        </w:rPr>
        <w:t xml:space="preserve"> </w:t>
      </w:r>
    </w:p>
    <w:p w14:paraId="61ABA0A0" w14:textId="77777777" w:rsidR="001952BF" w:rsidRDefault="001952BF" w:rsidP="001952BF">
      <w:pPr>
        <w:spacing w:after="15"/>
        <w:ind w:left="350"/>
      </w:pPr>
      <w:r>
        <w:rPr>
          <w:color w:val="2E73B5"/>
          <w:sz w:val="24"/>
        </w:rPr>
        <w:t xml:space="preserve"> </w:t>
      </w:r>
    </w:p>
    <w:p w14:paraId="103DF637" w14:textId="77777777" w:rsidR="001952BF" w:rsidRDefault="001952BF" w:rsidP="001952BF">
      <w:pPr>
        <w:spacing w:after="204"/>
        <w:ind w:left="350"/>
      </w:pPr>
      <w:r>
        <w:rPr>
          <w:color w:val="2E73B5"/>
          <w:sz w:val="24"/>
        </w:rPr>
        <w:t xml:space="preserve"> </w:t>
      </w:r>
    </w:p>
    <w:p w14:paraId="341B5886" w14:textId="77777777" w:rsidR="001952BF" w:rsidRPr="004A4E39" w:rsidRDefault="001952BF" w:rsidP="001952BF">
      <w:pPr>
        <w:spacing w:after="5" w:line="254" w:lineRule="auto"/>
        <w:ind w:left="387"/>
        <w:jc w:val="center"/>
        <w:rPr>
          <w:rFonts w:cstheme="minorHAnsi"/>
        </w:rPr>
      </w:pPr>
      <w:r w:rsidRPr="004A4E39">
        <w:rPr>
          <w:rFonts w:cstheme="minorHAnsi"/>
          <w:b/>
          <w:color w:val="2E73B5"/>
          <w:sz w:val="24"/>
        </w:rPr>
        <w:t>Syntropy Wealth Management LLC</w:t>
      </w:r>
    </w:p>
    <w:p w14:paraId="181FDD88" w14:textId="77777777" w:rsidR="001952BF" w:rsidRPr="004A4E39" w:rsidRDefault="001952BF" w:rsidP="001952BF">
      <w:pPr>
        <w:spacing w:after="5" w:line="254" w:lineRule="auto"/>
        <w:ind w:left="387"/>
        <w:jc w:val="center"/>
        <w:rPr>
          <w:rFonts w:cstheme="minorHAnsi"/>
        </w:rPr>
      </w:pPr>
      <w:r>
        <w:rPr>
          <w:rFonts w:cstheme="minorHAnsi"/>
          <w:b/>
          <w:color w:val="2E73B5"/>
          <w:sz w:val="24"/>
        </w:rPr>
        <w:t>9200 Sandstone St.</w:t>
      </w:r>
      <w:r w:rsidRPr="004A4E39">
        <w:rPr>
          <w:rFonts w:cstheme="minorHAnsi"/>
          <w:b/>
          <w:color w:val="2E73B5"/>
          <w:sz w:val="24"/>
        </w:rPr>
        <w:t xml:space="preserve">, Suite </w:t>
      </w:r>
      <w:r>
        <w:rPr>
          <w:rFonts w:cstheme="minorHAnsi"/>
          <w:b/>
          <w:color w:val="2E73B5"/>
          <w:sz w:val="24"/>
        </w:rPr>
        <w:t>101</w:t>
      </w:r>
    </w:p>
    <w:p w14:paraId="19825D83" w14:textId="77777777" w:rsidR="001952BF" w:rsidRPr="004A4E39" w:rsidRDefault="001952BF" w:rsidP="001952BF">
      <w:pPr>
        <w:spacing w:after="5" w:line="254" w:lineRule="auto"/>
        <w:ind w:left="387"/>
        <w:jc w:val="center"/>
        <w:rPr>
          <w:rFonts w:cstheme="minorHAnsi"/>
        </w:rPr>
      </w:pPr>
      <w:r w:rsidRPr="004A4E39">
        <w:rPr>
          <w:rFonts w:cstheme="minorHAnsi"/>
          <w:b/>
          <w:color w:val="2E73B5"/>
          <w:sz w:val="24"/>
        </w:rPr>
        <w:t>Austin, TX, 7873</w:t>
      </w:r>
      <w:r>
        <w:rPr>
          <w:rFonts w:cstheme="minorHAnsi"/>
          <w:b/>
          <w:color w:val="2E73B5"/>
          <w:sz w:val="24"/>
        </w:rPr>
        <w:t>7</w:t>
      </w:r>
    </w:p>
    <w:p w14:paraId="394A196C" w14:textId="77777777" w:rsidR="001952BF" w:rsidRPr="004A4E39" w:rsidRDefault="001952BF" w:rsidP="001952BF">
      <w:pPr>
        <w:spacing w:after="5" w:line="254" w:lineRule="auto"/>
        <w:ind w:left="387"/>
        <w:jc w:val="center"/>
        <w:rPr>
          <w:rFonts w:cstheme="minorHAnsi"/>
        </w:rPr>
      </w:pPr>
      <w:r w:rsidRPr="004A4E39">
        <w:rPr>
          <w:rFonts w:cstheme="minorHAnsi"/>
          <w:b/>
          <w:color w:val="2E73B5"/>
          <w:sz w:val="24"/>
        </w:rPr>
        <w:t>Phone: 512-740-7333</w:t>
      </w:r>
    </w:p>
    <w:p w14:paraId="6ABE0BDD" w14:textId="77777777" w:rsidR="001952BF" w:rsidRPr="004A4E39" w:rsidRDefault="001952BF" w:rsidP="001952BF">
      <w:pPr>
        <w:spacing w:after="5" w:line="254" w:lineRule="auto"/>
        <w:ind w:left="387"/>
        <w:jc w:val="center"/>
        <w:rPr>
          <w:rFonts w:cstheme="minorHAnsi"/>
          <w:b/>
          <w:color w:val="2E73B5"/>
          <w:sz w:val="24"/>
        </w:rPr>
      </w:pPr>
      <w:r w:rsidRPr="004A4E39">
        <w:rPr>
          <w:rFonts w:cstheme="minorHAnsi"/>
          <w:b/>
          <w:color w:val="2E73B5"/>
          <w:sz w:val="24"/>
        </w:rPr>
        <w:t xml:space="preserve">Email: </w:t>
      </w:r>
      <w:hyperlink r:id="rId8" w:history="1">
        <w:r w:rsidRPr="0011420A">
          <w:rPr>
            <w:rStyle w:val="Hyperlink"/>
            <w:rFonts w:cstheme="minorHAnsi"/>
            <w:b/>
          </w:rPr>
          <w:t>info@syntropywealth.com</w:t>
        </w:r>
      </w:hyperlink>
    </w:p>
    <w:p w14:paraId="17DA1001" w14:textId="77777777" w:rsidR="001952BF" w:rsidRPr="0011420A" w:rsidRDefault="001952BF" w:rsidP="001952BF">
      <w:pPr>
        <w:spacing w:after="5" w:line="254" w:lineRule="auto"/>
        <w:ind w:left="387"/>
        <w:jc w:val="center"/>
        <w:rPr>
          <w:rFonts w:cstheme="minorHAnsi"/>
          <w:color w:val="00B050"/>
          <w:u w:val="single"/>
        </w:rPr>
      </w:pPr>
      <w:r w:rsidRPr="0011420A">
        <w:rPr>
          <w:rFonts w:cstheme="minorHAnsi"/>
          <w:b/>
          <w:color w:val="00B050"/>
          <w:sz w:val="24"/>
          <w:u w:val="single"/>
        </w:rPr>
        <w:t>www.syntropywealth.com</w:t>
      </w:r>
    </w:p>
    <w:p w14:paraId="23A4AD5D" w14:textId="77777777" w:rsidR="001952BF" w:rsidRPr="004A4E39" w:rsidRDefault="001952BF" w:rsidP="001952BF">
      <w:pPr>
        <w:spacing w:after="8"/>
        <w:ind w:left="446"/>
        <w:jc w:val="center"/>
        <w:rPr>
          <w:rFonts w:cstheme="minorHAnsi"/>
          <w:color w:val="2E73B5"/>
          <w:sz w:val="44"/>
        </w:rPr>
      </w:pPr>
    </w:p>
    <w:p w14:paraId="7F9B88B2" w14:textId="77777777" w:rsidR="001952BF" w:rsidRPr="0011420A" w:rsidRDefault="001952BF" w:rsidP="001952BF">
      <w:pPr>
        <w:spacing w:after="8"/>
        <w:ind w:left="446"/>
        <w:jc w:val="center"/>
        <w:rPr>
          <w:rFonts w:cstheme="minorHAnsi"/>
          <w:sz w:val="40"/>
          <w:szCs w:val="40"/>
        </w:rPr>
      </w:pPr>
      <w:r w:rsidRPr="0011420A">
        <w:rPr>
          <w:rFonts w:cstheme="minorHAnsi"/>
          <w:sz w:val="40"/>
          <w:szCs w:val="40"/>
        </w:rPr>
        <w:t xml:space="preserve">Derek Eckert </w:t>
      </w:r>
    </w:p>
    <w:p w14:paraId="0CD8128C" w14:textId="77777777" w:rsidR="001952BF" w:rsidRPr="0011420A" w:rsidRDefault="001952BF" w:rsidP="001952BF">
      <w:pPr>
        <w:spacing w:after="0"/>
        <w:ind w:left="334"/>
        <w:jc w:val="center"/>
        <w:rPr>
          <w:rFonts w:cstheme="minorHAnsi"/>
          <w:sz w:val="40"/>
          <w:szCs w:val="40"/>
        </w:rPr>
      </w:pPr>
      <w:r w:rsidRPr="0011420A">
        <w:rPr>
          <w:rFonts w:cstheme="minorHAnsi"/>
          <w:sz w:val="40"/>
          <w:szCs w:val="40"/>
        </w:rPr>
        <w:t xml:space="preserve">Form ADV Part2B </w:t>
      </w:r>
    </w:p>
    <w:p w14:paraId="584C3E54" w14:textId="77777777" w:rsidR="001952BF" w:rsidRPr="004A4E39" w:rsidRDefault="001952BF" w:rsidP="001952BF">
      <w:pPr>
        <w:spacing w:after="0"/>
        <w:ind w:left="334"/>
        <w:jc w:val="center"/>
        <w:rPr>
          <w:rFonts w:cstheme="minorHAnsi"/>
          <w:sz w:val="28"/>
          <w:szCs w:val="28"/>
        </w:rPr>
      </w:pPr>
      <w:r>
        <w:rPr>
          <w:rFonts w:cstheme="minorHAnsi"/>
          <w:sz w:val="28"/>
          <w:szCs w:val="28"/>
        </w:rPr>
        <w:t>March</w:t>
      </w:r>
      <w:r w:rsidRPr="004A4E39">
        <w:rPr>
          <w:rFonts w:cstheme="minorHAnsi"/>
          <w:sz w:val="28"/>
          <w:szCs w:val="28"/>
        </w:rPr>
        <w:t xml:space="preserve"> 2</w:t>
      </w:r>
      <w:r>
        <w:rPr>
          <w:rFonts w:cstheme="minorHAnsi"/>
          <w:sz w:val="28"/>
          <w:szCs w:val="28"/>
        </w:rPr>
        <w:t>3</w:t>
      </w:r>
      <w:r w:rsidRPr="004A4E39">
        <w:rPr>
          <w:rFonts w:cstheme="minorHAnsi"/>
          <w:sz w:val="28"/>
          <w:szCs w:val="28"/>
        </w:rPr>
        <w:t>, 20</w:t>
      </w:r>
      <w:r>
        <w:rPr>
          <w:rFonts w:cstheme="minorHAnsi"/>
          <w:sz w:val="28"/>
          <w:szCs w:val="28"/>
        </w:rPr>
        <w:t>20</w:t>
      </w:r>
    </w:p>
    <w:p w14:paraId="00000292" w14:textId="77777777" w:rsidR="001952BF" w:rsidRDefault="001952BF" w:rsidP="001952BF">
      <w:pPr>
        <w:spacing w:after="0"/>
        <w:ind w:left="334"/>
        <w:jc w:val="center"/>
      </w:pPr>
    </w:p>
    <w:p w14:paraId="1B6F5DA7" w14:textId="77777777" w:rsidR="001952BF" w:rsidRDefault="001952BF" w:rsidP="001952BF">
      <w:pPr>
        <w:spacing w:after="0"/>
        <w:ind w:left="334"/>
        <w:jc w:val="center"/>
      </w:pPr>
    </w:p>
    <w:p w14:paraId="1A689581" w14:textId="77777777" w:rsidR="001952BF" w:rsidRDefault="001952BF" w:rsidP="001952BF">
      <w:pPr>
        <w:spacing w:after="0"/>
        <w:ind w:left="334"/>
        <w:jc w:val="center"/>
      </w:pPr>
    </w:p>
    <w:p w14:paraId="393C4237" w14:textId="77777777" w:rsidR="001952BF" w:rsidRDefault="001952BF" w:rsidP="001952BF">
      <w:pPr>
        <w:spacing w:after="0"/>
        <w:ind w:left="334"/>
        <w:jc w:val="center"/>
      </w:pPr>
    </w:p>
    <w:p w14:paraId="57C51557" w14:textId="77777777" w:rsidR="001952BF" w:rsidRDefault="001952BF" w:rsidP="001952BF">
      <w:pPr>
        <w:spacing w:after="0"/>
        <w:ind w:left="334"/>
        <w:jc w:val="center"/>
      </w:pPr>
    </w:p>
    <w:p w14:paraId="3ED090E2" w14:textId="77777777" w:rsidR="001952BF" w:rsidRDefault="001952BF" w:rsidP="001952BF">
      <w:pPr>
        <w:spacing w:after="0"/>
        <w:ind w:left="334"/>
        <w:jc w:val="center"/>
      </w:pPr>
    </w:p>
    <w:p w14:paraId="6253059E" w14:textId="77777777" w:rsidR="001952BF" w:rsidRDefault="001952BF" w:rsidP="001952BF">
      <w:pPr>
        <w:spacing w:after="0"/>
        <w:ind w:left="334"/>
        <w:jc w:val="center"/>
      </w:pPr>
    </w:p>
    <w:p w14:paraId="260B5E3C" w14:textId="53600585" w:rsidR="001952BF" w:rsidRDefault="001952BF" w:rsidP="001952BF">
      <w:pPr>
        <w:spacing w:after="0"/>
        <w:ind w:left="334"/>
        <w:jc w:val="center"/>
      </w:pPr>
    </w:p>
    <w:p w14:paraId="25C09DF4" w14:textId="69785CED" w:rsidR="001952BF" w:rsidRDefault="001952BF" w:rsidP="001952BF">
      <w:pPr>
        <w:spacing w:after="0"/>
        <w:ind w:left="334"/>
        <w:jc w:val="center"/>
      </w:pPr>
    </w:p>
    <w:p w14:paraId="4991CE48" w14:textId="79A3865B" w:rsidR="001952BF" w:rsidRDefault="001952BF" w:rsidP="001952BF">
      <w:pPr>
        <w:spacing w:after="0"/>
        <w:ind w:left="334"/>
        <w:jc w:val="center"/>
      </w:pPr>
    </w:p>
    <w:p w14:paraId="116647F9" w14:textId="77777777" w:rsidR="001952BF" w:rsidRDefault="001952BF" w:rsidP="001952BF">
      <w:pPr>
        <w:spacing w:after="0"/>
        <w:ind w:left="334"/>
        <w:jc w:val="center"/>
      </w:pPr>
    </w:p>
    <w:p w14:paraId="1D2AE37D" w14:textId="77777777" w:rsidR="001952BF" w:rsidRPr="0011420A" w:rsidRDefault="001952BF" w:rsidP="001952BF">
      <w:pPr>
        <w:spacing w:after="204"/>
        <w:rPr>
          <w:rFonts w:asciiTheme="majorHAnsi" w:hAnsiTheme="majorHAnsi" w:cstheme="majorHAnsi"/>
          <w:sz w:val="20"/>
          <w:szCs w:val="20"/>
        </w:rPr>
      </w:pPr>
      <w:r w:rsidRPr="0011420A">
        <w:rPr>
          <w:rFonts w:asciiTheme="majorHAnsi" w:hAnsiTheme="majorHAnsi" w:cstheme="majorHAnsi"/>
          <w:sz w:val="20"/>
          <w:szCs w:val="20"/>
        </w:rPr>
        <w:t>This brochure supplement provides information about Derek Eckert that supplements the Syntropy Wealth Management LLC Brochure. You should have received a copy of that brochure at, or prior to, account opening. Please contact Derek Eckert if you did not receive it or if you have any questions about the contents of this supplement.</w:t>
      </w:r>
    </w:p>
    <w:p w14:paraId="1165F506" w14:textId="77777777" w:rsidR="001952BF" w:rsidRPr="0011420A" w:rsidRDefault="001952BF" w:rsidP="001952BF">
      <w:pPr>
        <w:pStyle w:val="Heading1"/>
        <w:ind w:left="355"/>
        <w:rPr>
          <w:rFonts w:asciiTheme="majorHAnsi" w:hAnsiTheme="majorHAnsi" w:cstheme="majorHAnsi"/>
          <w:b/>
          <w:color w:val="auto"/>
          <w:sz w:val="28"/>
          <w:szCs w:val="28"/>
        </w:rPr>
      </w:pPr>
      <w:r w:rsidRPr="0011420A">
        <w:rPr>
          <w:rFonts w:asciiTheme="majorHAnsi" w:hAnsiTheme="majorHAnsi" w:cstheme="majorHAnsi"/>
          <w:b/>
          <w:color w:val="auto"/>
          <w:sz w:val="28"/>
          <w:szCs w:val="28"/>
        </w:rPr>
        <w:lastRenderedPageBreak/>
        <w:t xml:space="preserve">Educational Background and Business Experience  </w:t>
      </w:r>
    </w:p>
    <w:p w14:paraId="0F75AD04" w14:textId="77777777" w:rsidR="001952BF" w:rsidRPr="001952BF" w:rsidRDefault="001952BF" w:rsidP="001952BF">
      <w:pPr>
        <w:ind w:left="355"/>
        <w:rPr>
          <w:rFonts w:asciiTheme="majorHAnsi" w:hAnsiTheme="majorHAnsi" w:cstheme="majorHAnsi"/>
          <w:b/>
          <w:color w:val="4472C4" w:themeColor="accent1"/>
        </w:rPr>
      </w:pPr>
      <w:r w:rsidRPr="001952BF">
        <w:rPr>
          <w:rFonts w:asciiTheme="majorHAnsi" w:hAnsiTheme="majorHAnsi" w:cstheme="majorHAnsi"/>
          <w:b/>
          <w:color w:val="4472C4" w:themeColor="accent1"/>
        </w:rPr>
        <w:t>Education</w:t>
      </w:r>
    </w:p>
    <w:p w14:paraId="307B3105"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 xml:space="preserve">Derek Eckert, born in 1972, graduated from the University of Cincinnati with a Bachelor of Science in 1995 and from the University of Texas at Austin with a Master of Science in 2004.  </w:t>
      </w:r>
    </w:p>
    <w:p w14:paraId="011459FF" w14:textId="77777777" w:rsidR="001952BF" w:rsidRPr="001952BF" w:rsidRDefault="001952BF" w:rsidP="001952BF">
      <w:pPr>
        <w:ind w:left="355"/>
        <w:rPr>
          <w:rFonts w:asciiTheme="majorHAnsi" w:hAnsiTheme="majorHAnsi" w:cstheme="majorHAnsi"/>
          <w:b/>
          <w:color w:val="4472C4" w:themeColor="accent1"/>
        </w:rPr>
      </w:pPr>
      <w:r w:rsidRPr="001952BF">
        <w:rPr>
          <w:rFonts w:asciiTheme="majorHAnsi" w:hAnsiTheme="majorHAnsi" w:cstheme="majorHAnsi"/>
          <w:b/>
          <w:color w:val="4472C4" w:themeColor="accent1"/>
        </w:rPr>
        <w:t>Experience</w:t>
      </w:r>
    </w:p>
    <w:p w14:paraId="04CD4290"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 xml:space="preserve">Derek Eckert’s employment information is listed below:   </w:t>
      </w:r>
    </w:p>
    <w:p w14:paraId="517F4742" w14:textId="77777777" w:rsidR="001952BF" w:rsidRPr="0011420A" w:rsidRDefault="001952BF" w:rsidP="001952BF">
      <w:pPr>
        <w:spacing w:after="23"/>
        <w:rPr>
          <w:rFonts w:asciiTheme="majorHAnsi" w:hAnsiTheme="majorHAnsi" w:cstheme="majorHAnsi"/>
          <w:sz w:val="20"/>
          <w:szCs w:val="20"/>
        </w:rPr>
      </w:pPr>
      <w:r>
        <w:rPr>
          <w:rFonts w:asciiTheme="majorHAnsi" w:hAnsiTheme="majorHAnsi" w:cstheme="majorHAnsi"/>
          <w:sz w:val="20"/>
          <w:szCs w:val="20"/>
        </w:rPr>
        <w:t xml:space="preserve">        </w:t>
      </w:r>
      <w:r w:rsidRPr="0011420A">
        <w:rPr>
          <w:rFonts w:asciiTheme="majorHAnsi" w:hAnsiTheme="majorHAnsi" w:cstheme="majorHAnsi"/>
          <w:sz w:val="20"/>
          <w:szCs w:val="20"/>
        </w:rPr>
        <w:t>Syntropy Wealth Management LLC</w:t>
      </w:r>
      <w:r w:rsidRPr="0011420A">
        <w:rPr>
          <w:rFonts w:asciiTheme="majorHAnsi" w:hAnsiTheme="majorHAnsi" w:cstheme="majorHAnsi"/>
          <w:sz w:val="20"/>
          <w:szCs w:val="20"/>
          <w:vertAlign w:val="subscript"/>
        </w:rPr>
        <w:t xml:space="preserve"> </w:t>
      </w:r>
    </w:p>
    <w:p w14:paraId="1ADD961D" w14:textId="77777777" w:rsidR="001952BF" w:rsidRPr="0011420A" w:rsidRDefault="001952BF" w:rsidP="001952BF">
      <w:pPr>
        <w:spacing w:after="10"/>
        <w:ind w:left="355"/>
        <w:rPr>
          <w:rFonts w:asciiTheme="majorHAnsi" w:hAnsiTheme="majorHAnsi" w:cstheme="majorHAnsi"/>
          <w:sz w:val="20"/>
          <w:szCs w:val="20"/>
        </w:rPr>
      </w:pPr>
      <w:r w:rsidRPr="0011420A">
        <w:rPr>
          <w:rFonts w:asciiTheme="majorHAnsi" w:hAnsiTheme="majorHAnsi" w:cstheme="majorHAnsi"/>
          <w:sz w:val="20"/>
          <w:szCs w:val="20"/>
        </w:rPr>
        <w:t xml:space="preserve">Managing Director and Chief Compliance Officer  </w:t>
      </w:r>
    </w:p>
    <w:p w14:paraId="41D496AD" w14:textId="77777777" w:rsidR="001952BF" w:rsidRPr="0011420A" w:rsidRDefault="001952BF" w:rsidP="001952BF">
      <w:pPr>
        <w:spacing w:after="13"/>
        <w:ind w:left="355"/>
        <w:rPr>
          <w:rFonts w:asciiTheme="majorHAnsi" w:hAnsiTheme="majorHAnsi" w:cstheme="majorHAnsi"/>
          <w:sz w:val="20"/>
          <w:szCs w:val="20"/>
        </w:rPr>
      </w:pPr>
      <w:r w:rsidRPr="0011420A">
        <w:rPr>
          <w:rFonts w:asciiTheme="majorHAnsi" w:hAnsiTheme="majorHAnsi" w:cstheme="majorHAnsi"/>
          <w:sz w:val="20"/>
          <w:szCs w:val="20"/>
        </w:rPr>
        <w:t xml:space="preserve">April 2018 to Present  </w:t>
      </w:r>
    </w:p>
    <w:p w14:paraId="13A530E9" w14:textId="77777777" w:rsidR="001952BF" w:rsidRPr="0011420A" w:rsidRDefault="001952BF" w:rsidP="001952BF">
      <w:pPr>
        <w:spacing w:after="15"/>
        <w:rPr>
          <w:rFonts w:asciiTheme="majorHAnsi" w:hAnsiTheme="majorHAnsi" w:cstheme="majorHAnsi"/>
          <w:sz w:val="20"/>
          <w:szCs w:val="20"/>
        </w:rPr>
      </w:pPr>
      <w:r w:rsidRPr="0011420A">
        <w:rPr>
          <w:rFonts w:asciiTheme="majorHAnsi" w:hAnsiTheme="majorHAnsi" w:cstheme="majorHAnsi"/>
          <w:sz w:val="20"/>
          <w:szCs w:val="20"/>
        </w:rPr>
        <w:t xml:space="preserve">  </w:t>
      </w:r>
    </w:p>
    <w:p w14:paraId="435207C0" w14:textId="77777777" w:rsidR="001952BF" w:rsidRPr="0011420A" w:rsidRDefault="001952BF" w:rsidP="001952BF">
      <w:pPr>
        <w:spacing w:after="25"/>
        <w:ind w:left="355"/>
        <w:rPr>
          <w:rFonts w:asciiTheme="majorHAnsi" w:hAnsiTheme="majorHAnsi" w:cstheme="majorHAnsi"/>
          <w:sz w:val="20"/>
          <w:szCs w:val="20"/>
        </w:rPr>
      </w:pPr>
      <w:r w:rsidRPr="0011420A">
        <w:rPr>
          <w:rFonts w:asciiTheme="majorHAnsi" w:hAnsiTheme="majorHAnsi" w:cstheme="majorHAnsi"/>
          <w:sz w:val="20"/>
          <w:szCs w:val="20"/>
        </w:rPr>
        <w:t xml:space="preserve">TIAA-CREF Individual &amp; Institutional Services, LLC </w:t>
      </w:r>
    </w:p>
    <w:p w14:paraId="3D0037ED" w14:textId="77777777" w:rsidR="001952BF" w:rsidRPr="0011420A" w:rsidRDefault="001952BF" w:rsidP="001952BF">
      <w:pPr>
        <w:tabs>
          <w:tab w:val="center" w:pos="3058"/>
          <w:tab w:val="center" w:pos="6113"/>
        </w:tabs>
        <w:spacing w:after="13"/>
        <w:rPr>
          <w:rFonts w:asciiTheme="majorHAnsi" w:hAnsiTheme="majorHAnsi" w:cstheme="majorHAnsi"/>
          <w:sz w:val="20"/>
          <w:szCs w:val="20"/>
        </w:rPr>
      </w:pPr>
      <w:r w:rsidRPr="0011420A">
        <w:rPr>
          <w:rFonts w:asciiTheme="majorHAnsi" w:hAnsiTheme="majorHAnsi" w:cstheme="majorHAnsi"/>
          <w:sz w:val="20"/>
          <w:szCs w:val="20"/>
        </w:rPr>
        <w:t xml:space="preserve">        Wealth Management Advisor and Registered Representative   </w:t>
      </w:r>
      <w:r w:rsidRPr="0011420A">
        <w:rPr>
          <w:rFonts w:asciiTheme="majorHAnsi" w:hAnsiTheme="majorHAnsi" w:cstheme="majorHAnsi"/>
          <w:sz w:val="20"/>
          <w:szCs w:val="20"/>
        </w:rPr>
        <w:tab/>
        <w:t xml:space="preserve">  </w:t>
      </w:r>
    </w:p>
    <w:p w14:paraId="4C6E5D82" w14:textId="77777777" w:rsidR="001952BF" w:rsidRPr="0011420A" w:rsidRDefault="001952BF" w:rsidP="001952BF">
      <w:pPr>
        <w:spacing w:after="10"/>
        <w:ind w:left="355"/>
        <w:rPr>
          <w:rFonts w:asciiTheme="majorHAnsi" w:hAnsiTheme="majorHAnsi" w:cstheme="majorHAnsi"/>
          <w:sz w:val="20"/>
          <w:szCs w:val="20"/>
        </w:rPr>
      </w:pPr>
      <w:r w:rsidRPr="0011420A">
        <w:rPr>
          <w:rFonts w:asciiTheme="majorHAnsi" w:hAnsiTheme="majorHAnsi" w:cstheme="majorHAnsi"/>
          <w:sz w:val="20"/>
          <w:szCs w:val="20"/>
        </w:rPr>
        <w:t xml:space="preserve">May 2007 to April 2018   </w:t>
      </w:r>
    </w:p>
    <w:p w14:paraId="410618F9" w14:textId="77777777" w:rsidR="001952BF" w:rsidRPr="0011420A" w:rsidRDefault="001952BF" w:rsidP="001952BF">
      <w:pPr>
        <w:spacing w:after="171"/>
        <w:rPr>
          <w:rFonts w:asciiTheme="majorHAnsi" w:hAnsiTheme="majorHAnsi" w:cstheme="majorHAnsi"/>
          <w:sz w:val="20"/>
          <w:szCs w:val="20"/>
        </w:rPr>
      </w:pPr>
      <w:r w:rsidRPr="0011420A">
        <w:rPr>
          <w:rFonts w:asciiTheme="majorHAnsi" w:hAnsiTheme="majorHAnsi" w:cstheme="majorHAnsi"/>
          <w:sz w:val="20"/>
          <w:szCs w:val="20"/>
        </w:rPr>
        <w:t xml:space="preserve">  </w:t>
      </w:r>
    </w:p>
    <w:p w14:paraId="21F8CCA5" w14:textId="77777777" w:rsidR="001952BF" w:rsidRPr="001952BF" w:rsidRDefault="001952BF" w:rsidP="001952BF">
      <w:pPr>
        <w:ind w:left="350"/>
        <w:rPr>
          <w:rFonts w:asciiTheme="majorHAnsi" w:hAnsiTheme="majorHAnsi" w:cstheme="majorHAnsi"/>
          <w:b/>
          <w:color w:val="4472C4" w:themeColor="accent1"/>
        </w:rPr>
      </w:pPr>
      <w:r w:rsidRPr="001952BF">
        <w:rPr>
          <w:rFonts w:asciiTheme="majorHAnsi" w:hAnsiTheme="majorHAnsi" w:cstheme="majorHAnsi"/>
          <w:b/>
          <w:color w:val="4472C4" w:themeColor="accent1"/>
        </w:rPr>
        <w:t xml:space="preserve">Professional Designation(s)  </w:t>
      </w:r>
    </w:p>
    <w:p w14:paraId="60CF94A8" w14:textId="77777777" w:rsidR="001952BF" w:rsidRPr="0011420A" w:rsidRDefault="001952BF" w:rsidP="001952BF">
      <w:pPr>
        <w:spacing w:after="121"/>
        <w:ind w:left="355"/>
        <w:rPr>
          <w:rFonts w:asciiTheme="majorHAnsi" w:hAnsiTheme="majorHAnsi" w:cstheme="majorHAnsi"/>
          <w:sz w:val="20"/>
          <w:szCs w:val="20"/>
        </w:rPr>
      </w:pPr>
      <w:r w:rsidRPr="0011420A">
        <w:rPr>
          <w:rFonts w:asciiTheme="majorHAnsi" w:hAnsiTheme="majorHAnsi" w:cstheme="majorHAnsi"/>
          <w:sz w:val="20"/>
          <w:szCs w:val="20"/>
        </w:rPr>
        <w:t xml:space="preserve">Derek Eckert has earned the following designation(s) and is in good standing with the granting authority:   </w:t>
      </w:r>
    </w:p>
    <w:p w14:paraId="1686CC26"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b/>
          <w:color w:val="00B050"/>
          <w:sz w:val="20"/>
          <w:szCs w:val="20"/>
        </w:rPr>
        <w:t>Certified Financial Planner™, CFP</w:t>
      </w:r>
      <w:r w:rsidRPr="0011420A">
        <w:rPr>
          <w:rFonts w:asciiTheme="majorHAnsi" w:hAnsiTheme="majorHAnsi" w:cstheme="majorHAnsi"/>
          <w:b/>
          <w:color w:val="00B050"/>
          <w:sz w:val="20"/>
          <w:szCs w:val="20"/>
          <w:vertAlign w:val="superscript"/>
        </w:rPr>
        <w:t>®</w:t>
      </w:r>
      <w:r w:rsidRPr="0011420A">
        <w:rPr>
          <w:rFonts w:asciiTheme="majorHAnsi" w:hAnsiTheme="majorHAnsi" w:cstheme="majorHAnsi"/>
          <w:color w:val="00B050"/>
          <w:sz w:val="20"/>
          <w:szCs w:val="20"/>
        </w:rPr>
        <w:t xml:space="preserve"> </w:t>
      </w:r>
      <w:r w:rsidRPr="0011420A">
        <w:rPr>
          <w:rFonts w:asciiTheme="majorHAnsi" w:hAnsiTheme="majorHAnsi" w:cstheme="majorHAnsi"/>
          <w:sz w:val="20"/>
          <w:szCs w:val="20"/>
        </w:rPr>
        <w:t>and federally registered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(with flame design) marks (collectively, the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marks”) are professional certification marks granted in the United States by Certified Financial Planner Board of Standards, Inc.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Board”).  </w:t>
      </w:r>
    </w:p>
    <w:p w14:paraId="4C527C7C"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The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certification is a voluntary certification; no federal or state law or regulation requires financial planners to hold CFP</w:t>
      </w:r>
      <w:r w:rsidRPr="0011420A">
        <w:rPr>
          <w:rFonts w:asciiTheme="majorHAnsi" w:hAnsiTheme="majorHAnsi" w:cstheme="majorHAnsi"/>
          <w:sz w:val="20"/>
          <w:szCs w:val="20"/>
          <w:vertAlign w:val="superscript"/>
        </w:rPr>
        <w:t xml:space="preserve">® </w:t>
      </w:r>
      <w:r w:rsidRPr="0011420A">
        <w:rPr>
          <w:rFonts w:asciiTheme="majorHAnsi" w:hAnsiTheme="majorHAnsi" w:cstheme="majorHAnsi"/>
          <w:sz w:val="20"/>
          <w:szCs w:val="20"/>
        </w:rPr>
        <w:t>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71,000 individuals have obtained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certification in the United States.  </w:t>
      </w:r>
    </w:p>
    <w:p w14:paraId="137E811C"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To attain the right to use the CFP</w:t>
      </w:r>
      <w:r w:rsidRPr="0011420A">
        <w:rPr>
          <w:rFonts w:asciiTheme="majorHAnsi" w:hAnsiTheme="majorHAnsi" w:cstheme="majorHAnsi"/>
          <w:sz w:val="20"/>
          <w:szCs w:val="20"/>
          <w:vertAlign w:val="superscript"/>
        </w:rPr>
        <w:t xml:space="preserve">® </w:t>
      </w:r>
      <w:r w:rsidRPr="0011420A">
        <w:rPr>
          <w:rFonts w:asciiTheme="majorHAnsi" w:hAnsiTheme="majorHAnsi" w:cstheme="majorHAnsi"/>
          <w:sz w:val="20"/>
          <w:szCs w:val="20"/>
        </w:rPr>
        <w:t xml:space="preserve">marks, he has satisfactorily fulfilled the following requirements:  </w:t>
      </w:r>
    </w:p>
    <w:p w14:paraId="772BBD66" w14:textId="77777777" w:rsidR="001952BF" w:rsidRPr="0011420A" w:rsidRDefault="001952BF" w:rsidP="001952BF">
      <w:pPr>
        <w:numPr>
          <w:ilvl w:val="0"/>
          <w:numId w:val="1"/>
        </w:numPr>
        <w:spacing w:after="23" w:line="269" w:lineRule="auto"/>
        <w:ind w:hanging="360"/>
        <w:jc w:val="both"/>
        <w:rPr>
          <w:rFonts w:asciiTheme="majorHAnsi" w:hAnsiTheme="majorHAnsi" w:cstheme="majorHAnsi"/>
          <w:sz w:val="20"/>
          <w:szCs w:val="20"/>
        </w:rPr>
      </w:pPr>
      <w:r w:rsidRPr="0011420A">
        <w:rPr>
          <w:rFonts w:asciiTheme="majorHAnsi" w:hAnsiTheme="majorHAnsi" w:cstheme="majorHAnsi"/>
          <w:sz w:val="20"/>
          <w:szCs w:val="20"/>
        </w:rPr>
        <w:t>Education – Complete an advanced college-level course of study addressing the financial planning subject areas that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Board’s studies have determined as necessary for the competent and professional delivery of financial planning services and attain a Bachelor’s degree from a regionally accredited United States college or university (or its equivalent from a foreign university).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Board’s financial planning subject areas include insurance planning and risk management, employee benefits planning, investment planning, income tax planning, retirement planning, and estate planning;  </w:t>
      </w:r>
    </w:p>
    <w:p w14:paraId="640DF507" w14:textId="77777777" w:rsidR="001952BF" w:rsidRPr="0011420A" w:rsidRDefault="001952BF" w:rsidP="001952BF">
      <w:pPr>
        <w:numPr>
          <w:ilvl w:val="0"/>
          <w:numId w:val="1"/>
        </w:numPr>
        <w:spacing w:after="33" w:line="269" w:lineRule="auto"/>
        <w:ind w:hanging="360"/>
        <w:jc w:val="both"/>
        <w:rPr>
          <w:rFonts w:asciiTheme="majorHAnsi" w:hAnsiTheme="majorHAnsi" w:cstheme="majorHAnsi"/>
          <w:sz w:val="20"/>
          <w:szCs w:val="20"/>
        </w:rPr>
      </w:pPr>
      <w:r w:rsidRPr="0011420A">
        <w:rPr>
          <w:rFonts w:asciiTheme="majorHAnsi" w:hAnsiTheme="majorHAnsi" w:cstheme="majorHAnsi"/>
          <w:sz w:val="20"/>
          <w:szCs w:val="20"/>
        </w:rPr>
        <w:t>Examination – Pass the comprehensive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Certification Examination. The examination includes case studies and client scenarios designed to test one’s ability to correctly diagnose financial planning issues and apply one’s knowledge of financial planning to real world circumstances;  </w:t>
      </w:r>
    </w:p>
    <w:p w14:paraId="067DFADE" w14:textId="77777777" w:rsidR="001952BF" w:rsidRPr="0011420A" w:rsidRDefault="001952BF" w:rsidP="001952BF">
      <w:pPr>
        <w:numPr>
          <w:ilvl w:val="0"/>
          <w:numId w:val="1"/>
        </w:numPr>
        <w:spacing w:after="20" w:line="269" w:lineRule="auto"/>
        <w:ind w:hanging="360"/>
        <w:jc w:val="both"/>
        <w:rPr>
          <w:rFonts w:asciiTheme="majorHAnsi" w:hAnsiTheme="majorHAnsi" w:cstheme="majorHAnsi"/>
          <w:sz w:val="20"/>
          <w:szCs w:val="20"/>
        </w:rPr>
      </w:pPr>
      <w:r w:rsidRPr="0011420A">
        <w:rPr>
          <w:rFonts w:asciiTheme="majorHAnsi" w:hAnsiTheme="majorHAnsi" w:cstheme="majorHAnsi"/>
          <w:sz w:val="20"/>
          <w:szCs w:val="20"/>
        </w:rPr>
        <w:t xml:space="preserve">Experience – Complete at least three years of full-time financial planning-related experience   </w:t>
      </w:r>
    </w:p>
    <w:p w14:paraId="2A0DCAA6" w14:textId="77777777" w:rsidR="001952BF" w:rsidRPr="0011420A" w:rsidRDefault="001952BF" w:rsidP="001952BF">
      <w:pPr>
        <w:numPr>
          <w:ilvl w:val="0"/>
          <w:numId w:val="1"/>
        </w:numPr>
        <w:spacing w:after="163" w:line="269" w:lineRule="auto"/>
        <w:ind w:hanging="360"/>
        <w:jc w:val="both"/>
        <w:rPr>
          <w:rFonts w:asciiTheme="majorHAnsi" w:hAnsiTheme="majorHAnsi" w:cstheme="majorHAnsi"/>
          <w:sz w:val="20"/>
          <w:szCs w:val="20"/>
        </w:rPr>
      </w:pPr>
      <w:r w:rsidRPr="0011420A">
        <w:rPr>
          <w:rFonts w:asciiTheme="majorHAnsi" w:hAnsiTheme="majorHAnsi" w:cstheme="majorHAnsi"/>
          <w:sz w:val="20"/>
          <w:szCs w:val="20"/>
        </w:rPr>
        <w:t>Ethics – Agree to be bound by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Board’s Standards of Professional Conduct, a set of documents outlining the ethical and practice standards for CFP</w:t>
      </w:r>
      <w:r w:rsidRPr="0011420A">
        <w:rPr>
          <w:rFonts w:asciiTheme="majorHAnsi" w:hAnsiTheme="majorHAnsi" w:cstheme="majorHAnsi"/>
          <w:sz w:val="20"/>
          <w:szCs w:val="20"/>
          <w:vertAlign w:val="superscript"/>
        </w:rPr>
        <w:t xml:space="preserve">® </w:t>
      </w:r>
      <w:r w:rsidRPr="0011420A">
        <w:rPr>
          <w:rFonts w:asciiTheme="majorHAnsi" w:hAnsiTheme="majorHAnsi" w:cstheme="majorHAnsi"/>
          <w:sz w:val="20"/>
          <w:szCs w:val="20"/>
        </w:rPr>
        <w:t xml:space="preserve">professionals.  </w:t>
      </w:r>
    </w:p>
    <w:p w14:paraId="6E241E64" w14:textId="77777777" w:rsidR="001952BF" w:rsidRPr="0011420A" w:rsidRDefault="001952BF" w:rsidP="001952BF">
      <w:pPr>
        <w:numPr>
          <w:ilvl w:val="0"/>
          <w:numId w:val="1"/>
        </w:numPr>
        <w:spacing w:after="226" w:line="269" w:lineRule="auto"/>
        <w:ind w:hanging="360"/>
        <w:jc w:val="both"/>
        <w:rPr>
          <w:rFonts w:asciiTheme="majorHAnsi" w:hAnsiTheme="majorHAnsi" w:cstheme="majorHAnsi"/>
          <w:sz w:val="20"/>
          <w:szCs w:val="20"/>
        </w:rPr>
      </w:pPr>
      <w:r w:rsidRPr="0011420A">
        <w:rPr>
          <w:rFonts w:asciiTheme="majorHAnsi" w:hAnsiTheme="majorHAnsi" w:cstheme="majorHAnsi"/>
          <w:sz w:val="20"/>
          <w:szCs w:val="20"/>
        </w:rPr>
        <w:t>Individuals who become certified must complete the following ongoing education and ethics requirements to maintain the right to continue to use the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mark:  </w:t>
      </w:r>
    </w:p>
    <w:p w14:paraId="7AAEC53B" w14:textId="77777777" w:rsidR="001952BF" w:rsidRPr="0011420A" w:rsidRDefault="001952BF" w:rsidP="001952BF">
      <w:pPr>
        <w:numPr>
          <w:ilvl w:val="1"/>
          <w:numId w:val="1"/>
        </w:numPr>
        <w:spacing w:after="20" w:line="269" w:lineRule="auto"/>
        <w:ind w:hanging="360"/>
        <w:jc w:val="both"/>
        <w:rPr>
          <w:rFonts w:asciiTheme="majorHAnsi" w:hAnsiTheme="majorHAnsi" w:cstheme="majorHAnsi"/>
          <w:sz w:val="20"/>
          <w:szCs w:val="20"/>
        </w:rPr>
      </w:pPr>
      <w:r w:rsidRPr="0011420A">
        <w:rPr>
          <w:rFonts w:asciiTheme="majorHAnsi" w:hAnsiTheme="majorHAnsi" w:cstheme="majorHAnsi"/>
          <w:sz w:val="20"/>
          <w:szCs w:val="20"/>
        </w:rPr>
        <w:lastRenderedPageBreak/>
        <w:t xml:space="preserve">Continuing Education – Complete 30 hours of continuing education hours every two years, including two hours on the Code of Ethics and other parts of the Standards of Professional Conduct, to maintain competence and keep up with developments in the financial planning field; and  </w:t>
      </w:r>
    </w:p>
    <w:p w14:paraId="1DD15FA6" w14:textId="77777777" w:rsidR="001952BF" w:rsidRPr="0011420A" w:rsidRDefault="001952BF" w:rsidP="001952BF">
      <w:pPr>
        <w:numPr>
          <w:ilvl w:val="1"/>
          <w:numId w:val="1"/>
        </w:numPr>
        <w:spacing w:after="163" w:line="269" w:lineRule="auto"/>
        <w:ind w:hanging="360"/>
        <w:jc w:val="both"/>
        <w:rPr>
          <w:rFonts w:asciiTheme="majorHAnsi" w:hAnsiTheme="majorHAnsi" w:cstheme="majorHAnsi"/>
          <w:sz w:val="20"/>
          <w:szCs w:val="20"/>
        </w:rPr>
      </w:pPr>
      <w:r w:rsidRPr="0011420A">
        <w:rPr>
          <w:rFonts w:asciiTheme="majorHAnsi" w:hAnsiTheme="majorHAnsi" w:cstheme="majorHAnsi"/>
          <w:sz w:val="20"/>
          <w:szCs w:val="20"/>
        </w:rPr>
        <w:t>Ethics – Renew an agreement to be bound by the Standards of Professional Conduct. The Standards prominently require that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professionals provide financial planning services at a fiduciary standard of care. This means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professionals must provide financial planning services in the best interests of their clients.  </w:t>
      </w:r>
    </w:p>
    <w:p w14:paraId="044F167C"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CFP</w:t>
      </w:r>
      <w:r w:rsidRPr="0011420A">
        <w:rPr>
          <w:rFonts w:asciiTheme="majorHAnsi" w:hAnsiTheme="majorHAnsi" w:cstheme="majorHAnsi"/>
          <w:sz w:val="20"/>
          <w:szCs w:val="20"/>
          <w:vertAlign w:val="superscript"/>
        </w:rPr>
        <w:t xml:space="preserve">® </w:t>
      </w:r>
      <w:r w:rsidRPr="0011420A">
        <w:rPr>
          <w:rFonts w:asciiTheme="majorHAnsi" w:hAnsiTheme="majorHAnsi" w:cstheme="majorHAnsi"/>
          <w:sz w:val="20"/>
          <w:szCs w:val="20"/>
        </w:rPr>
        <w:t>professionals who fail to comply with the above standards and requirements may be subject to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Board’s enforcement process, which could result in suspension or permanent revocation of their CFP</w:t>
      </w:r>
      <w:r w:rsidRPr="0011420A">
        <w:rPr>
          <w:rFonts w:asciiTheme="majorHAnsi" w:hAnsiTheme="majorHAnsi" w:cstheme="majorHAnsi"/>
          <w:sz w:val="20"/>
          <w:szCs w:val="20"/>
          <w:vertAlign w:val="superscript"/>
        </w:rPr>
        <w:t>®</w:t>
      </w:r>
      <w:r w:rsidRPr="0011420A">
        <w:rPr>
          <w:rFonts w:asciiTheme="majorHAnsi" w:hAnsiTheme="majorHAnsi" w:cstheme="majorHAnsi"/>
          <w:sz w:val="20"/>
          <w:szCs w:val="20"/>
        </w:rPr>
        <w:t xml:space="preserve"> certification.  </w:t>
      </w:r>
    </w:p>
    <w:p w14:paraId="691E48D8" w14:textId="77777777" w:rsidR="001952BF" w:rsidRPr="0011420A" w:rsidRDefault="001952BF" w:rsidP="001952BF">
      <w:pPr>
        <w:spacing w:after="171"/>
        <w:ind w:left="350"/>
        <w:rPr>
          <w:rFonts w:asciiTheme="majorHAnsi" w:hAnsiTheme="majorHAnsi" w:cstheme="majorHAnsi"/>
          <w:sz w:val="20"/>
          <w:szCs w:val="20"/>
        </w:rPr>
      </w:pPr>
      <w:r w:rsidRPr="0011420A">
        <w:rPr>
          <w:rFonts w:asciiTheme="majorHAnsi" w:hAnsiTheme="majorHAnsi" w:cstheme="majorHAnsi"/>
          <w:sz w:val="20"/>
          <w:szCs w:val="20"/>
        </w:rPr>
        <w:t xml:space="preserve"> </w:t>
      </w:r>
    </w:p>
    <w:p w14:paraId="49DD7058" w14:textId="77777777" w:rsidR="001952BF" w:rsidRPr="0011420A" w:rsidRDefault="001952BF" w:rsidP="001952BF">
      <w:pPr>
        <w:ind w:left="355"/>
        <w:rPr>
          <w:rFonts w:asciiTheme="majorHAnsi" w:hAnsiTheme="majorHAnsi" w:cstheme="majorHAnsi"/>
          <w:b/>
          <w:color w:val="00B050"/>
          <w:sz w:val="20"/>
          <w:szCs w:val="20"/>
        </w:rPr>
      </w:pPr>
      <w:r w:rsidRPr="0011420A">
        <w:rPr>
          <w:rFonts w:asciiTheme="majorHAnsi" w:hAnsiTheme="majorHAnsi" w:cstheme="majorHAnsi"/>
          <w:b/>
          <w:color w:val="00B050"/>
          <w:sz w:val="20"/>
          <w:szCs w:val="20"/>
        </w:rPr>
        <w:t xml:space="preserve">CEBS; Certified Employee Benefit Specialist  </w:t>
      </w:r>
    </w:p>
    <w:p w14:paraId="4F2BACB2"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 xml:space="preserve">Issued by: International Foundation of Employee Benefit Plans and Wharton School of the University of Pennsylvania  </w:t>
      </w:r>
    </w:p>
    <w:p w14:paraId="598D0280"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 xml:space="preserve">Prerequisites/Experience Required: None   </w:t>
      </w:r>
    </w:p>
    <w:p w14:paraId="11A5E08A"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 xml:space="preserve">Education Requirements: Six required courses and two electives from CEBS curriculum  </w:t>
      </w:r>
    </w:p>
    <w:p w14:paraId="23A3C129"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 xml:space="preserve">Examination Type: Computer-based test for each course  </w:t>
      </w:r>
    </w:p>
    <w:p w14:paraId="5C36101E" w14:textId="77777777" w:rsidR="001952BF" w:rsidRPr="0011420A" w:rsidRDefault="001952BF" w:rsidP="001952BF">
      <w:pPr>
        <w:spacing w:after="512"/>
        <w:ind w:left="355"/>
        <w:rPr>
          <w:rFonts w:asciiTheme="majorHAnsi" w:hAnsiTheme="majorHAnsi" w:cstheme="majorHAnsi"/>
          <w:sz w:val="20"/>
          <w:szCs w:val="20"/>
        </w:rPr>
      </w:pPr>
      <w:r w:rsidRPr="0011420A">
        <w:rPr>
          <w:rFonts w:asciiTheme="majorHAnsi" w:hAnsiTheme="majorHAnsi" w:cstheme="majorHAnsi"/>
          <w:sz w:val="20"/>
          <w:szCs w:val="20"/>
        </w:rPr>
        <w:t xml:space="preserve">Continuing Education / Experience Requirements: 30 hours every two years  </w:t>
      </w:r>
    </w:p>
    <w:p w14:paraId="21154104" w14:textId="77777777" w:rsidR="001952BF" w:rsidRPr="0011420A" w:rsidRDefault="001952BF" w:rsidP="001952BF">
      <w:pPr>
        <w:pStyle w:val="Heading1"/>
        <w:ind w:left="355"/>
        <w:rPr>
          <w:rFonts w:asciiTheme="majorHAnsi" w:hAnsiTheme="majorHAnsi" w:cstheme="majorHAnsi"/>
          <w:b/>
          <w:sz w:val="28"/>
          <w:szCs w:val="28"/>
        </w:rPr>
      </w:pPr>
      <w:r w:rsidRPr="0011420A">
        <w:rPr>
          <w:rFonts w:asciiTheme="majorHAnsi" w:hAnsiTheme="majorHAnsi" w:cstheme="majorHAnsi"/>
          <w:b/>
          <w:color w:val="auto"/>
          <w:sz w:val="28"/>
          <w:szCs w:val="28"/>
        </w:rPr>
        <w:t xml:space="preserve">Supervision </w:t>
      </w:r>
      <w:r w:rsidRPr="0011420A">
        <w:rPr>
          <w:rFonts w:asciiTheme="majorHAnsi" w:hAnsiTheme="majorHAnsi" w:cstheme="majorHAnsi"/>
          <w:b/>
          <w:sz w:val="28"/>
          <w:szCs w:val="28"/>
        </w:rPr>
        <w:t xml:space="preserve">  </w:t>
      </w:r>
    </w:p>
    <w:p w14:paraId="476C026E" w14:textId="77777777" w:rsidR="001952BF" w:rsidRPr="0011420A" w:rsidRDefault="001952BF" w:rsidP="001952BF">
      <w:pPr>
        <w:spacing w:after="509"/>
        <w:ind w:left="355"/>
        <w:rPr>
          <w:rFonts w:asciiTheme="majorHAnsi" w:hAnsiTheme="majorHAnsi" w:cstheme="majorHAnsi"/>
          <w:sz w:val="20"/>
          <w:szCs w:val="20"/>
        </w:rPr>
      </w:pPr>
      <w:r w:rsidRPr="0011420A">
        <w:rPr>
          <w:rFonts w:asciiTheme="majorHAnsi" w:hAnsiTheme="majorHAnsi" w:cstheme="majorHAnsi"/>
          <w:sz w:val="20"/>
          <w:szCs w:val="20"/>
        </w:rPr>
        <w:t xml:space="preserve">Derek Eckert is the Chief Compliance Officer or Syntropy Wealth and is responsible for supervising the investment advisory activities and can be contacted via telephone at 512-740-7333 and via email at </w:t>
      </w:r>
      <w:r w:rsidRPr="0011420A">
        <w:rPr>
          <w:rFonts w:asciiTheme="majorHAnsi" w:hAnsiTheme="majorHAnsi" w:cstheme="majorHAnsi"/>
          <w:sz w:val="20"/>
          <w:szCs w:val="20"/>
          <w:u w:val="single"/>
        </w:rPr>
        <w:t>derek@syntropyweatlh.com</w:t>
      </w:r>
      <w:r w:rsidRPr="0011420A">
        <w:rPr>
          <w:rFonts w:asciiTheme="majorHAnsi" w:hAnsiTheme="majorHAnsi" w:cstheme="majorHAnsi"/>
          <w:sz w:val="20"/>
          <w:szCs w:val="20"/>
        </w:rPr>
        <w:t>.</w:t>
      </w:r>
    </w:p>
    <w:p w14:paraId="15A616D9" w14:textId="77777777" w:rsidR="001952BF" w:rsidRPr="0011420A" w:rsidRDefault="001952BF" w:rsidP="001952BF">
      <w:pPr>
        <w:pStyle w:val="Heading1"/>
        <w:ind w:left="355"/>
        <w:rPr>
          <w:rFonts w:asciiTheme="majorHAnsi" w:hAnsiTheme="majorHAnsi" w:cstheme="majorHAnsi"/>
          <w:b/>
          <w:color w:val="auto"/>
          <w:sz w:val="28"/>
          <w:szCs w:val="28"/>
        </w:rPr>
      </w:pPr>
      <w:r w:rsidRPr="0011420A">
        <w:rPr>
          <w:rFonts w:asciiTheme="majorHAnsi" w:hAnsiTheme="majorHAnsi" w:cstheme="majorHAnsi"/>
          <w:b/>
          <w:color w:val="auto"/>
          <w:sz w:val="28"/>
          <w:szCs w:val="28"/>
        </w:rPr>
        <w:t xml:space="preserve">Disciplinary Information   </w:t>
      </w:r>
    </w:p>
    <w:p w14:paraId="1FC730FD" w14:textId="77777777" w:rsidR="001952BF" w:rsidRPr="0011420A" w:rsidRDefault="001952BF" w:rsidP="001952BF">
      <w:pPr>
        <w:pStyle w:val="ListParagraph"/>
        <w:numPr>
          <w:ilvl w:val="0"/>
          <w:numId w:val="2"/>
        </w:numPr>
        <w:spacing w:after="14" w:line="261" w:lineRule="auto"/>
        <w:ind w:right="319"/>
        <w:rPr>
          <w:rFonts w:asciiTheme="majorHAnsi" w:hAnsiTheme="majorHAnsi" w:cstheme="majorHAnsi"/>
          <w:sz w:val="20"/>
          <w:szCs w:val="20"/>
        </w:rPr>
      </w:pPr>
      <w:r w:rsidRPr="0011420A">
        <w:rPr>
          <w:rFonts w:asciiTheme="majorHAnsi" w:hAnsiTheme="majorHAnsi" w:cstheme="majorHAnsi"/>
          <w:sz w:val="20"/>
          <w:szCs w:val="20"/>
        </w:rPr>
        <w:t xml:space="preserve">Derek Eckert has not been and/or is presently not involved in any disciplinary, legal, or regulatory events that would be material to a client’s evaluation of him or of Syntropy Wealth.  </w:t>
      </w:r>
    </w:p>
    <w:p w14:paraId="37AF2F8E" w14:textId="77777777" w:rsidR="001952BF" w:rsidRPr="0011420A" w:rsidRDefault="001952BF" w:rsidP="001952BF">
      <w:pPr>
        <w:pStyle w:val="ListParagraph"/>
        <w:numPr>
          <w:ilvl w:val="0"/>
          <w:numId w:val="2"/>
        </w:numPr>
        <w:spacing w:after="14" w:line="261" w:lineRule="auto"/>
        <w:ind w:right="319"/>
        <w:rPr>
          <w:rFonts w:asciiTheme="majorHAnsi" w:hAnsiTheme="majorHAnsi" w:cstheme="majorHAnsi"/>
          <w:sz w:val="20"/>
          <w:szCs w:val="20"/>
        </w:rPr>
      </w:pPr>
      <w:r w:rsidRPr="0011420A">
        <w:rPr>
          <w:rFonts w:asciiTheme="majorHAnsi" w:hAnsiTheme="majorHAnsi" w:cstheme="majorHAnsi"/>
          <w:sz w:val="20"/>
          <w:szCs w:val="20"/>
        </w:rPr>
        <w:t xml:space="preserve">Derek Eckert has not been the subject of a bankruptcy petition. </w:t>
      </w:r>
    </w:p>
    <w:p w14:paraId="56C025AA" w14:textId="77777777" w:rsidR="001952BF" w:rsidRPr="0011420A" w:rsidRDefault="001952BF" w:rsidP="001952BF">
      <w:pPr>
        <w:spacing w:after="346"/>
        <w:rPr>
          <w:rFonts w:asciiTheme="majorHAnsi" w:hAnsiTheme="majorHAnsi" w:cstheme="majorHAnsi"/>
          <w:sz w:val="20"/>
          <w:szCs w:val="20"/>
        </w:rPr>
      </w:pPr>
      <w:r w:rsidRPr="0011420A">
        <w:rPr>
          <w:rFonts w:asciiTheme="majorHAnsi" w:hAnsiTheme="majorHAnsi" w:cstheme="majorHAnsi"/>
          <w:sz w:val="20"/>
          <w:szCs w:val="20"/>
        </w:rPr>
        <w:t xml:space="preserve"> </w:t>
      </w:r>
    </w:p>
    <w:p w14:paraId="2471C4C0" w14:textId="77777777" w:rsidR="001952BF" w:rsidRPr="0011420A" w:rsidRDefault="001952BF" w:rsidP="001952BF">
      <w:pPr>
        <w:spacing w:after="0"/>
        <w:rPr>
          <w:rFonts w:asciiTheme="majorHAnsi" w:hAnsiTheme="majorHAnsi" w:cstheme="majorHAnsi"/>
          <w:b/>
          <w:sz w:val="28"/>
          <w:szCs w:val="28"/>
        </w:rPr>
      </w:pPr>
      <w:r w:rsidRPr="0011420A">
        <w:rPr>
          <w:rFonts w:asciiTheme="majorHAnsi" w:hAnsiTheme="majorHAnsi" w:cstheme="majorHAnsi"/>
          <w:sz w:val="20"/>
          <w:szCs w:val="20"/>
        </w:rPr>
        <w:t xml:space="preserve">       </w:t>
      </w:r>
      <w:r w:rsidRPr="0011420A">
        <w:rPr>
          <w:rFonts w:asciiTheme="majorHAnsi" w:hAnsiTheme="majorHAnsi" w:cstheme="majorHAnsi"/>
          <w:b/>
          <w:sz w:val="28"/>
          <w:szCs w:val="28"/>
        </w:rPr>
        <w:t xml:space="preserve">Requirements for State-Registered Advisers  </w:t>
      </w:r>
    </w:p>
    <w:p w14:paraId="3B95B2FF"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 xml:space="preserve">Derek Eckert has not been involved in an award or found liable in any arbitration claim or any civil, self-    regulatory events that would be material to a client’s evaluation of him or of Syntropy Wealth. </w:t>
      </w:r>
    </w:p>
    <w:p w14:paraId="7900B1C8" w14:textId="77777777" w:rsidR="001952BF" w:rsidRPr="0011420A" w:rsidRDefault="001952BF" w:rsidP="001952BF">
      <w:pPr>
        <w:spacing w:after="80"/>
        <w:ind w:left="350"/>
        <w:rPr>
          <w:rFonts w:asciiTheme="majorHAnsi" w:hAnsiTheme="majorHAnsi" w:cstheme="majorHAnsi"/>
          <w:sz w:val="20"/>
          <w:szCs w:val="20"/>
        </w:rPr>
      </w:pPr>
      <w:r w:rsidRPr="0011420A">
        <w:rPr>
          <w:rFonts w:asciiTheme="majorHAnsi" w:hAnsiTheme="majorHAnsi" w:cstheme="majorHAnsi"/>
          <w:color w:val="2E73B5"/>
          <w:sz w:val="20"/>
          <w:szCs w:val="20"/>
        </w:rPr>
        <w:t xml:space="preserve"> </w:t>
      </w:r>
    </w:p>
    <w:p w14:paraId="2AB13AFF" w14:textId="77777777" w:rsidR="001952BF" w:rsidRPr="0011420A" w:rsidRDefault="001952BF" w:rsidP="001952BF">
      <w:pPr>
        <w:pStyle w:val="Heading1"/>
        <w:ind w:left="355"/>
        <w:rPr>
          <w:rFonts w:asciiTheme="majorHAnsi" w:hAnsiTheme="majorHAnsi" w:cstheme="majorHAnsi"/>
          <w:b/>
          <w:color w:val="auto"/>
          <w:sz w:val="28"/>
          <w:szCs w:val="28"/>
        </w:rPr>
      </w:pPr>
      <w:r w:rsidRPr="0011420A">
        <w:rPr>
          <w:rFonts w:asciiTheme="majorHAnsi" w:hAnsiTheme="majorHAnsi" w:cstheme="majorHAnsi"/>
          <w:b/>
          <w:color w:val="auto"/>
          <w:sz w:val="28"/>
          <w:szCs w:val="28"/>
        </w:rPr>
        <w:t xml:space="preserve">Other Business Activities  </w:t>
      </w:r>
    </w:p>
    <w:p w14:paraId="6C310D7E" w14:textId="77777777" w:rsidR="001952BF" w:rsidRPr="0011420A" w:rsidRDefault="001952BF" w:rsidP="001952BF">
      <w:pPr>
        <w:ind w:left="355"/>
        <w:rPr>
          <w:rFonts w:asciiTheme="majorHAnsi" w:hAnsiTheme="majorHAnsi" w:cstheme="majorHAnsi"/>
          <w:b/>
          <w:color w:val="00B0F0"/>
        </w:rPr>
      </w:pPr>
      <w:r w:rsidRPr="001952BF">
        <w:rPr>
          <w:rFonts w:asciiTheme="majorHAnsi" w:hAnsiTheme="majorHAnsi" w:cstheme="majorHAnsi"/>
          <w:b/>
          <w:color w:val="4472C4" w:themeColor="accent1"/>
        </w:rPr>
        <w:t>Insurance</w:t>
      </w:r>
      <w:r w:rsidRPr="0011420A">
        <w:rPr>
          <w:rFonts w:asciiTheme="majorHAnsi" w:hAnsiTheme="majorHAnsi" w:cstheme="majorHAnsi"/>
          <w:b/>
          <w:color w:val="00B0F0"/>
        </w:rPr>
        <w:t xml:space="preserve">  </w:t>
      </w:r>
    </w:p>
    <w:p w14:paraId="30DF9834" w14:textId="77777777" w:rsidR="001952BF" w:rsidRPr="0011420A" w:rsidRDefault="001952BF" w:rsidP="001952BF">
      <w:pPr>
        <w:spacing w:after="171" w:line="261" w:lineRule="auto"/>
        <w:ind w:left="355"/>
        <w:rPr>
          <w:rFonts w:asciiTheme="majorHAnsi" w:hAnsiTheme="majorHAnsi" w:cstheme="majorHAnsi"/>
          <w:sz w:val="20"/>
          <w:szCs w:val="20"/>
        </w:rPr>
      </w:pPr>
      <w:r w:rsidRPr="0011420A">
        <w:rPr>
          <w:rFonts w:asciiTheme="majorHAnsi" w:hAnsiTheme="majorHAnsi" w:cstheme="majorHAnsi"/>
          <w:sz w:val="20"/>
          <w:szCs w:val="20"/>
        </w:rPr>
        <w:lastRenderedPageBreak/>
        <w:t xml:space="preserve">Derek Eckert is </w:t>
      </w:r>
      <w:r>
        <w:rPr>
          <w:rFonts w:asciiTheme="majorHAnsi" w:hAnsiTheme="majorHAnsi" w:cstheme="majorHAnsi"/>
          <w:sz w:val="20"/>
          <w:szCs w:val="20"/>
        </w:rPr>
        <w:t>a licensed</w:t>
      </w:r>
      <w:r w:rsidRPr="0011420A">
        <w:rPr>
          <w:rFonts w:asciiTheme="majorHAnsi" w:hAnsiTheme="majorHAnsi" w:cstheme="majorHAnsi"/>
          <w:sz w:val="20"/>
          <w:szCs w:val="20"/>
        </w:rPr>
        <w:t xml:space="preserve"> insurance agent a</w:t>
      </w:r>
      <w:r>
        <w:rPr>
          <w:rFonts w:asciiTheme="majorHAnsi" w:hAnsiTheme="majorHAnsi" w:cstheme="majorHAnsi"/>
          <w:sz w:val="20"/>
          <w:szCs w:val="20"/>
        </w:rPr>
        <w:t>lthough he is not registered with any carrier and currently cannot place a policy or act as agent of record. H</w:t>
      </w:r>
      <w:r w:rsidRPr="0011420A">
        <w:rPr>
          <w:rFonts w:asciiTheme="majorHAnsi" w:hAnsiTheme="majorHAnsi" w:cstheme="majorHAnsi"/>
          <w:sz w:val="20"/>
          <w:szCs w:val="20"/>
        </w:rPr>
        <w:t xml:space="preserve">e spends </w:t>
      </w:r>
      <w:r>
        <w:rPr>
          <w:rFonts w:asciiTheme="majorHAnsi" w:hAnsiTheme="majorHAnsi" w:cstheme="majorHAnsi"/>
          <w:sz w:val="20"/>
          <w:szCs w:val="20"/>
        </w:rPr>
        <w:t>less than 1</w:t>
      </w:r>
      <w:r w:rsidRPr="0011420A">
        <w:rPr>
          <w:rFonts w:asciiTheme="majorHAnsi" w:hAnsiTheme="majorHAnsi" w:cstheme="majorHAnsi"/>
          <w:sz w:val="20"/>
          <w:szCs w:val="20"/>
        </w:rPr>
        <w:t xml:space="preserve">% of his time in this role. He </w:t>
      </w:r>
      <w:r>
        <w:rPr>
          <w:rFonts w:asciiTheme="majorHAnsi" w:hAnsiTheme="majorHAnsi" w:cstheme="majorHAnsi"/>
          <w:sz w:val="20"/>
          <w:szCs w:val="20"/>
        </w:rPr>
        <w:t>does not receive any</w:t>
      </w:r>
      <w:r w:rsidRPr="0011420A">
        <w:rPr>
          <w:rFonts w:asciiTheme="majorHAnsi" w:hAnsiTheme="majorHAnsi" w:cstheme="majorHAnsi"/>
          <w:sz w:val="20"/>
          <w:szCs w:val="20"/>
        </w:rPr>
        <w:t xml:space="preserve"> compensation for the successful placement of a</w:t>
      </w:r>
      <w:r>
        <w:rPr>
          <w:rFonts w:asciiTheme="majorHAnsi" w:hAnsiTheme="majorHAnsi" w:cstheme="majorHAnsi"/>
          <w:sz w:val="20"/>
          <w:szCs w:val="20"/>
        </w:rPr>
        <w:t>n application or</w:t>
      </w:r>
      <w:r w:rsidRPr="0011420A">
        <w:rPr>
          <w:rFonts w:asciiTheme="majorHAnsi" w:hAnsiTheme="majorHAnsi" w:cstheme="majorHAnsi"/>
          <w:sz w:val="20"/>
          <w:szCs w:val="20"/>
        </w:rPr>
        <w:t xml:space="preserve"> policy. Keep in mind that clients should consider comparing policy quotes with other insurance agents. </w:t>
      </w:r>
    </w:p>
    <w:p w14:paraId="0CDEDF6E" w14:textId="77777777" w:rsidR="001952BF" w:rsidRPr="001952BF" w:rsidRDefault="001952BF" w:rsidP="001952BF">
      <w:pPr>
        <w:ind w:left="355"/>
        <w:rPr>
          <w:rFonts w:asciiTheme="majorHAnsi" w:hAnsiTheme="majorHAnsi" w:cstheme="majorHAnsi"/>
          <w:b/>
          <w:color w:val="4472C4" w:themeColor="accent1"/>
        </w:rPr>
      </w:pPr>
      <w:r w:rsidRPr="001952BF">
        <w:rPr>
          <w:rFonts w:asciiTheme="majorHAnsi" w:hAnsiTheme="majorHAnsi" w:cstheme="majorHAnsi"/>
          <w:b/>
          <w:color w:val="4472C4" w:themeColor="accent1"/>
        </w:rPr>
        <w:t xml:space="preserve">Real Estate </w:t>
      </w:r>
    </w:p>
    <w:p w14:paraId="5D2E3EF3" w14:textId="77777777" w:rsidR="001952BF" w:rsidRPr="0011420A" w:rsidRDefault="001952BF" w:rsidP="001952BF">
      <w:pPr>
        <w:spacing w:after="342" w:line="261" w:lineRule="auto"/>
        <w:ind w:left="355"/>
        <w:rPr>
          <w:rFonts w:asciiTheme="majorHAnsi" w:hAnsiTheme="majorHAnsi" w:cstheme="majorHAnsi"/>
          <w:sz w:val="20"/>
          <w:szCs w:val="20"/>
        </w:rPr>
      </w:pPr>
      <w:r w:rsidRPr="0011420A">
        <w:rPr>
          <w:rFonts w:asciiTheme="majorHAnsi" w:hAnsiTheme="majorHAnsi" w:cstheme="majorHAnsi"/>
          <w:sz w:val="20"/>
          <w:szCs w:val="20"/>
        </w:rPr>
        <w:t xml:space="preserve">Derek </w:t>
      </w:r>
      <w:r>
        <w:rPr>
          <w:rFonts w:asciiTheme="majorHAnsi" w:hAnsiTheme="majorHAnsi" w:cstheme="majorHAnsi"/>
          <w:sz w:val="20"/>
          <w:szCs w:val="20"/>
        </w:rPr>
        <w:t xml:space="preserve">Eckert </w:t>
      </w:r>
      <w:r w:rsidRPr="0011420A">
        <w:rPr>
          <w:rFonts w:asciiTheme="majorHAnsi" w:hAnsiTheme="majorHAnsi" w:cstheme="majorHAnsi"/>
          <w:sz w:val="20"/>
          <w:szCs w:val="20"/>
        </w:rPr>
        <w:t xml:space="preserve">is a 1/3 partner in Cavanaugh, Eckert &amp; Hennenhoeffer, LLC. It was formed in 2016 for the single purpose to acquire a piece of </w:t>
      </w:r>
      <w:r>
        <w:rPr>
          <w:rFonts w:asciiTheme="majorHAnsi" w:hAnsiTheme="majorHAnsi" w:cstheme="majorHAnsi"/>
          <w:sz w:val="20"/>
          <w:szCs w:val="20"/>
        </w:rPr>
        <w:t xml:space="preserve">raw </w:t>
      </w:r>
      <w:r w:rsidRPr="0011420A">
        <w:rPr>
          <w:rFonts w:asciiTheme="majorHAnsi" w:hAnsiTheme="majorHAnsi" w:cstheme="majorHAnsi"/>
          <w:sz w:val="20"/>
          <w:szCs w:val="20"/>
        </w:rPr>
        <w:t>land</w:t>
      </w:r>
      <w:r>
        <w:rPr>
          <w:rFonts w:asciiTheme="majorHAnsi" w:hAnsiTheme="majorHAnsi" w:cstheme="majorHAnsi"/>
          <w:sz w:val="20"/>
          <w:szCs w:val="20"/>
        </w:rPr>
        <w:t xml:space="preserve"> </w:t>
      </w:r>
      <w:r w:rsidRPr="0011420A">
        <w:rPr>
          <w:rFonts w:asciiTheme="majorHAnsi" w:hAnsiTheme="majorHAnsi" w:cstheme="majorHAnsi"/>
          <w:sz w:val="20"/>
          <w:szCs w:val="20"/>
        </w:rPr>
        <w:t xml:space="preserve">to prevent </w:t>
      </w:r>
      <w:r>
        <w:rPr>
          <w:rFonts w:asciiTheme="majorHAnsi" w:hAnsiTheme="majorHAnsi" w:cstheme="majorHAnsi"/>
          <w:sz w:val="20"/>
          <w:szCs w:val="20"/>
        </w:rPr>
        <w:t xml:space="preserve">residential </w:t>
      </w:r>
      <w:r w:rsidRPr="0011420A">
        <w:rPr>
          <w:rFonts w:asciiTheme="majorHAnsi" w:hAnsiTheme="majorHAnsi" w:cstheme="majorHAnsi"/>
          <w:sz w:val="20"/>
          <w:szCs w:val="20"/>
        </w:rPr>
        <w:t xml:space="preserve">development and help restore the land to its natural state and to </w:t>
      </w:r>
      <w:r>
        <w:rPr>
          <w:rFonts w:asciiTheme="majorHAnsi" w:hAnsiTheme="majorHAnsi" w:cstheme="majorHAnsi"/>
          <w:sz w:val="20"/>
          <w:szCs w:val="20"/>
        </w:rPr>
        <w:t>attain</w:t>
      </w:r>
      <w:r w:rsidRPr="0011420A">
        <w:rPr>
          <w:rFonts w:asciiTheme="majorHAnsi" w:hAnsiTheme="majorHAnsi" w:cstheme="majorHAnsi"/>
          <w:sz w:val="20"/>
          <w:szCs w:val="20"/>
        </w:rPr>
        <w:t xml:space="preserve"> wildlife exemption. He spends less than 1% of his time in this role and does not receive any compensation. </w:t>
      </w:r>
    </w:p>
    <w:p w14:paraId="5231CEC3" w14:textId="77777777" w:rsidR="001952BF" w:rsidRPr="0011420A" w:rsidRDefault="001952BF" w:rsidP="001952BF">
      <w:pPr>
        <w:pStyle w:val="Heading1"/>
        <w:ind w:left="355"/>
        <w:rPr>
          <w:rFonts w:asciiTheme="majorHAnsi" w:hAnsiTheme="majorHAnsi" w:cstheme="majorHAnsi"/>
          <w:b/>
          <w:color w:val="auto"/>
          <w:sz w:val="28"/>
          <w:szCs w:val="28"/>
        </w:rPr>
      </w:pPr>
      <w:r w:rsidRPr="0011420A">
        <w:rPr>
          <w:rFonts w:asciiTheme="majorHAnsi" w:hAnsiTheme="majorHAnsi" w:cstheme="majorHAnsi"/>
          <w:b/>
          <w:color w:val="auto"/>
          <w:sz w:val="28"/>
          <w:szCs w:val="28"/>
        </w:rPr>
        <w:t xml:space="preserve">Additional Compensation  </w:t>
      </w:r>
    </w:p>
    <w:p w14:paraId="5BD5EA8D" w14:textId="77777777" w:rsidR="001952BF" w:rsidRPr="0011420A" w:rsidRDefault="001952BF" w:rsidP="001952BF">
      <w:pPr>
        <w:ind w:left="355"/>
        <w:rPr>
          <w:rFonts w:asciiTheme="majorHAnsi" w:hAnsiTheme="majorHAnsi" w:cstheme="majorHAnsi"/>
          <w:sz w:val="20"/>
          <w:szCs w:val="20"/>
        </w:rPr>
      </w:pPr>
      <w:r w:rsidRPr="0011420A">
        <w:rPr>
          <w:rFonts w:asciiTheme="majorHAnsi" w:hAnsiTheme="majorHAnsi" w:cstheme="majorHAnsi"/>
          <w:sz w:val="20"/>
          <w:szCs w:val="20"/>
        </w:rPr>
        <w:t xml:space="preserve">Derek Eckert does not receive any additional compensation. </w:t>
      </w:r>
    </w:p>
    <w:p w14:paraId="389409A7" w14:textId="77777777" w:rsidR="001952BF" w:rsidRPr="0011420A" w:rsidRDefault="001952BF" w:rsidP="001952BF">
      <w:pPr>
        <w:spacing w:after="171" w:line="261" w:lineRule="auto"/>
        <w:ind w:hanging="91"/>
        <w:rPr>
          <w:rFonts w:asciiTheme="majorHAnsi" w:hAnsiTheme="majorHAnsi" w:cstheme="majorHAnsi"/>
          <w:sz w:val="20"/>
          <w:szCs w:val="20"/>
        </w:rPr>
      </w:pPr>
      <w:r w:rsidRPr="0011420A">
        <w:rPr>
          <w:rFonts w:asciiTheme="majorHAnsi" w:hAnsiTheme="majorHAnsi" w:cstheme="majorHAnsi"/>
          <w:sz w:val="20"/>
          <w:szCs w:val="20"/>
        </w:rPr>
        <w:t xml:space="preserve">______________________________________________________________________________________________ Additional information about Syntropy Wealth Management LLC is also available at the SEC website: www.adviserinfo.sec.gov </w:t>
      </w:r>
    </w:p>
    <w:p w14:paraId="22430AC2" w14:textId="77777777" w:rsidR="001952BF" w:rsidRDefault="001952BF" w:rsidP="001952BF">
      <w:pPr>
        <w:spacing w:after="10230" w:line="265" w:lineRule="auto"/>
        <w:rPr>
          <w:rFonts w:ascii="Calibri" w:eastAsia="Calibri" w:hAnsi="Calibri" w:cs="Calibri"/>
        </w:rPr>
      </w:pPr>
    </w:p>
    <w:sectPr w:rsidR="001952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570D" w14:textId="77777777" w:rsidR="00577113" w:rsidRDefault="00577113">
      <w:pPr>
        <w:spacing w:after="0" w:line="240" w:lineRule="auto"/>
      </w:pPr>
      <w:r>
        <w:separator/>
      </w:r>
    </w:p>
  </w:endnote>
  <w:endnote w:type="continuationSeparator" w:id="0">
    <w:p w14:paraId="52BA802C" w14:textId="77777777" w:rsidR="00577113" w:rsidRDefault="0057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545031"/>
      <w:docPartObj>
        <w:docPartGallery w:val="Page Numbers (Bottom of Page)"/>
        <w:docPartUnique/>
      </w:docPartObj>
    </w:sdtPr>
    <w:sdtEndPr>
      <w:rPr>
        <w:noProof/>
      </w:rPr>
    </w:sdtEndPr>
    <w:sdtContent>
      <w:p w14:paraId="5F84AEC0" w14:textId="77777777" w:rsidR="00D83573" w:rsidRDefault="001952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30F09B" w14:textId="77777777" w:rsidR="00134E43" w:rsidRDefault="0057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82C1" w14:textId="77777777" w:rsidR="00577113" w:rsidRDefault="00577113">
      <w:pPr>
        <w:spacing w:after="0" w:line="240" w:lineRule="auto"/>
      </w:pPr>
      <w:r>
        <w:separator/>
      </w:r>
    </w:p>
  </w:footnote>
  <w:footnote w:type="continuationSeparator" w:id="0">
    <w:p w14:paraId="078587E7" w14:textId="77777777" w:rsidR="00577113" w:rsidRDefault="00577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4000A"/>
    <w:multiLevelType w:val="hybridMultilevel"/>
    <w:tmpl w:val="5448E74E"/>
    <w:lvl w:ilvl="0" w:tplc="4DD0739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0CDACC">
      <w:start w:val="1"/>
      <w:numFmt w:val="bullet"/>
      <w:lvlText w:val="o"/>
      <w:lvlJc w:val="left"/>
      <w:pPr>
        <w:ind w:left="1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8C492E">
      <w:start w:val="1"/>
      <w:numFmt w:val="bullet"/>
      <w:lvlText w:val="▪"/>
      <w:lvlJc w:val="left"/>
      <w:pPr>
        <w:ind w:left="2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302CA4">
      <w:start w:val="1"/>
      <w:numFmt w:val="bullet"/>
      <w:lvlText w:val="•"/>
      <w:lvlJc w:val="left"/>
      <w:pPr>
        <w:ind w:left="3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A435B2">
      <w:start w:val="1"/>
      <w:numFmt w:val="bullet"/>
      <w:lvlText w:val="o"/>
      <w:lvlJc w:val="left"/>
      <w:pPr>
        <w:ind w:left="3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18143E">
      <w:start w:val="1"/>
      <w:numFmt w:val="bullet"/>
      <w:lvlText w:val="▪"/>
      <w:lvlJc w:val="left"/>
      <w:pPr>
        <w:ind w:left="4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CA5EF8">
      <w:start w:val="1"/>
      <w:numFmt w:val="bullet"/>
      <w:lvlText w:val="•"/>
      <w:lvlJc w:val="left"/>
      <w:pPr>
        <w:ind w:left="5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DCEEF4">
      <w:start w:val="1"/>
      <w:numFmt w:val="bullet"/>
      <w:lvlText w:val="o"/>
      <w:lvlJc w:val="left"/>
      <w:pPr>
        <w:ind w:left="5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2EDEB4">
      <w:start w:val="1"/>
      <w:numFmt w:val="bullet"/>
      <w:lvlText w:val="▪"/>
      <w:lvlJc w:val="left"/>
      <w:pPr>
        <w:ind w:left="6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9F86F13"/>
    <w:multiLevelType w:val="hybridMultilevel"/>
    <w:tmpl w:val="A55C45B0"/>
    <w:lvl w:ilvl="0" w:tplc="51047ED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BF"/>
    <w:rsid w:val="001952BF"/>
    <w:rsid w:val="00577113"/>
    <w:rsid w:val="00913C87"/>
    <w:rsid w:val="00AE0B7C"/>
    <w:rsid w:val="00E0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19A5"/>
  <w15:chartTrackingRefBased/>
  <w15:docId w15:val="{DF668581-A89A-4AFC-A7ED-37CAB590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BF"/>
  </w:style>
  <w:style w:type="paragraph" w:styleId="Heading1">
    <w:name w:val="heading 1"/>
    <w:next w:val="Normal"/>
    <w:link w:val="Heading1Char"/>
    <w:uiPriority w:val="9"/>
    <w:unhideWhenUsed/>
    <w:qFormat/>
    <w:rsid w:val="001952BF"/>
    <w:pPr>
      <w:keepNext/>
      <w:keepLines/>
      <w:spacing w:after="73" w:line="250" w:lineRule="auto"/>
      <w:ind w:left="10" w:hanging="10"/>
      <w:outlineLvl w:val="0"/>
    </w:pPr>
    <w:rPr>
      <w:rFonts w:ascii="Calibri" w:eastAsia="Calibri" w:hAnsi="Calibri" w:cs="Calibri"/>
      <w:color w:val="2E73B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2BF"/>
    <w:rPr>
      <w:rFonts w:ascii="Calibri" w:eastAsia="Calibri" w:hAnsi="Calibri" w:cs="Calibri"/>
      <w:color w:val="2E73B5"/>
      <w:sz w:val="40"/>
    </w:rPr>
  </w:style>
  <w:style w:type="character" w:styleId="Hyperlink">
    <w:name w:val="Hyperlink"/>
    <w:basedOn w:val="DefaultParagraphFont"/>
    <w:uiPriority w:val="99"/>
    <w:unhideWhenUsed/>
    <w:rsid w:val="001952BF"/>
    <w:rPr>
      <w:color w:val="0563C1" w:themeColor="hyperlink"/>
      <w:u w:val="single"/>
    </w:rPr>
  </w:style>
  <w:style w:type="paragraph" w:styleId="ListParagraph">
    <w:name w:val="List Paragraph"/>
    <w:basedOn w:val="Normal"/>
    <w:uiPriority w:val="34"/>
    <w:qFormat/>
    <w:rsid w:val="001952BF"/>
    <w:pPr>
      <w:ind w:left="720"/>
      <w:contextualSpacing/>
    </w:pPr>
  </w:style>
  <w:style w:type="paragraph" w:styleId="Footer">
    <w:name w:val="footer"/>
    <w:basedOn w:val="Normal"/>
    <w:link w:val="FooterChar"/>
    <w:uiPriority w:val="99"/>
    <w:unhideWhenUsed/>
    <w:rsid w:val="00195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yntropywealth.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Eckert</dc:creator>
  <cp:keywords/>
  <dc:description/>
  <cp:lastModifiedBy>cecili eckert</cp:lastModifiedBy>
  <cp:revision>2</cp:revision>
  <dcterms:created xsi:type="dcterms:W3CDTF">2020-04-02T17:24:00Z</dcterms:created>
  <dcterms:modified xsi:type="dcterms:W3CDTF">2020-04-02T17:24:00Z</dcterms:modified>
</cp:coreProperties>
</file>